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EEDC" w14:textId="0A544184" w:rsidR="00C623B0" w:rsidRPr="00AB109C" w:rsidRDefault="00DF12E4" w:rsidP="00C623B0">
      <w:pPr>
        <w:jc w:val="center"/>
        <w:rPr>
          <w:b/>
          <w:sz w:val="24"/>
          <w:szCs w:val="24"/>
        </w:rPr>
      </w:pPr>
      <w:r w:rsidRPr="00AB109C">
        <w:rPr>
          <w:sz w:val="24"/>
          <w:szCs w:val="24"/>
          <w:lang w:val="en-CA"/>
        </w:rPr>
        <w:fldChar w:fldCharType="begin"/>
      </w:r>
      <w:r w:rsidRPr="00AB109C">
        <w:rPr>
          <w:sz w:val="24"/>
          <w:szCs w:val="24"/>
          <w:lang w:val="en-CA"/>
        </w:rPr>
        <w:instrText xml:space="preserve"> SEQ CHAPTER \h \r 1</w:instrText>
      </w:r>
      <w:r w:rsidRPr="00AB109C">
        <w:rPr>
          <w:sz w:val="24"/>
          <w:szCs w:val="24"/>
          <w:lang w:val="en-CA"/>
        </w:rPr>
        <w:fldChar w:fldCharType="end"/>
      </w:r>
      <w:r w:rsidRPr="00AB109C">
        <w:rPr>
          <w:b/>
          <w:bCs/>
          <w:sz w:val="24"/>
          <w:szCs w:val="24"/>
        </w:rPr>
        <w:t>Long-Lived Contaminants in Cu-61 Labeled Biomolecules Produced by Proton Bombardment of Ni-61 Enriched Targets</w:t>
      </w:r>
    </w:p>
    <w:p w14:paraId="689A72B1" w14:textId="3CF35FF9" w:rsidR="00C623B0" w:rsidRPr="00054B45" w:rsidRDefault="00DF12E4" w:rsidP="00C623B0">
      <w:pPr>
        <w:jc w:val="center"/>
        <w:rPr>
          <w:sz w:val="24"/>
          <w:szCs w:val="24"/>
          <w:vertAlign w:val="superscript"/>
        </w:rPr>
      </w:pPr>
      <w:r>
        <w:rPr>
          <w:sz w:val="24"/>
          <w:szCs w:val="24"/>
        </w:rPr>
        <w:t xml:space="preserve">Robert L. </w:t>
      </w:r>
      <w:proofErr w:type="spellStart"/>
      <w:r>
        <w:rPr>
          <w:sz w:val="24"/>
          <w:szCs w:val="24"/>
        </w:rPr>
        <w:t>Metzger</w:t>
      </w:r>
      <w:r w:rsidR="00C623B0" w:rsidRPr="00054B45">
        <w:rPr>
          <w:sz w:val="24"/>
          <w:szCs w:val="24"/>
          <w:vertAlign w:val="superscript"/>
        </w:rPr>
        <w:t>a</w:t>
      </w:r>
      <w:proofErr w:type="spellEnd"/>
      <w:r w:rsidR="00C623B0" w:rsidRPr="00054B45">
        <w:rPr>
          <w:sz w:val="24"/>
          <w:szCs w:val="24"/>
        </w:rPr>
        <w:t>*</w:t>
      </w:r>
    </w:p>
    <w:p w14:paraId="082EEB69" w14:textId="77777777" w:rsidR="00C623B0" w:rsidRPr="00054B45" w:rsidRDefault="00C623B0" w:rsidP="00C623B0">
      <w:pPr>
        <w:jc w:val="center"/>
        <w:rPr>
          <w:sz w:val="24"/>
          <w:szCs w:val="24"/>
        </w:rPr>
      </w:pPr>
    </w:p>
    <w:p w14:paraId="0B09DF55" w14:textId="5B8C007E" w:rsidR="00AA384B" w:rsidRPr="00054B45" w:rsidRDefault="00C623B0" w:rsidP="00AA384B">
      <w:pPr>
        <w:jc w:val="center"/>
        <w:rPr>
          <w:i/>
          <w:sz w:val="24"/>
          <w:szCs w:val="24"/>
        </w:rPr>
      </w:pPr>
      <w:proofErr w:type="spellStart"/>
      <w:r w:rsidRPr="00054B45">
        <w:rPr>
          <w:i/>
          <w:sz w:val="24"/>
          <w:szCs w:val="24"/>
          <w:vertAlign w:val="superscript"/>
        </w:rPr>
        <w:t>a</w:t>
      </w:r>
      <w:r w:rsidR="00DF12E4">
        <w:rPr>
          <w:i/>
          <w:sz w:val="24"/>
          <w:szCs w:val="24"/>
        </w:rPr>
        <w:t>Radiation</w:t>
      </w:r>
      <w:proofErr w:type="spellEnd"/>
      <w:r w:rsidR="00DF12E4">
        <w:rPr>
          <w:i/>
          <w:sz w:val="24"/>
          <w:szCs w:val="24"/>
        </w:rPr>
        <w:t xml:space="preserve"> Safety Engineering, Inc, 3245 N Washington St, Chandler, AZ 85225, USA</w:t>
      </w:r>
      <w:r w:rsidR="004B62E3">
        <w:rPr>
          <w:i/>
          <w:sz w:val="24"/>
          <w:szCs w:val="24"/>
        </w:rPr>
        <w:t xml:space="preserve"> *</w:t>
      </w:r>
      <w:r w:rsidR="00DF12E4">
        <w:rPr>
          <w:i/>
          <w:sz w:val="24"/>
          <w:szCs w:val="24"/>
        </w:rPr>
        <w:t>rlmetzger@radsafe.com</w:t>
      </w:r>
    </w:p>
    <w:p w14:paraId="14C97E99" w14:textId="77777777" w:rsidR="00AA384B" w:rsidRPr="00054B45" w:rsidRDefault="00AA384B" w:rsidP="00AA384B">
      <w:pPr>
        <w:jc w:val="center"/>
        <w:rPr>
          <w:i/>
          <w:sz w:val="24"/>
          <w:szCs w:val="24"/>
        </w:rPr>
      </w:pPr>
    </w:p>
    <w:p w14:paraId="110A6856" w14:textId="77777777" w:rsidR="003D5E8F" w:rsidRDefault="003D5E8F" w:rsidP="00C623B0">
      <w:pPr>
        <w:tabs>
          <w:tab w:val="left" w:pos="0"/>
        </w:tabs>
        <w:snapToGrid w:val="0"/>
        <w:rPr>
          <w:b/>
          <w:sz w:val="24"/>
          <w:szCs w:val="24"/>
        </w:rPr>
      </w:pPr>
      <w:r w:rsidRPr="003D5E8F">
        <w:rPr>
          <w:b/>
          <w:sz w:val="24"/>
          <w:szCs w:val="24"/>
        </w:rPr>
        <w:t>Introduction</w:t>
      </w:r>
    </w:p>
    <w:p w14:paraId="21829DAA" w14:textId="25BB2C3E" w:rsidR="00DF12E4" w:rsidRPr="00DF12E4" w:rsidRDefault="00DF12E4" w:rsidP="00DF12E4">
      <w:pPr>
        <w:autoSpaceDE w:val="0"/>
        <w:autoSpaceDN w:val="0"/>
        <w:adjustRightInd w:val="0"/>
        <w:rPr>
          <w:rFonts w:eastAsia="Calibri"/>
          <w:sz w:val="24"/>
          <w:szCs w:val="24"/>
        </w:rPr>
      </w:pPr>
      <w:r w:rsidRPr="00DF12E4">
        <w:rPr>
          <w:rFonts w:eastAsia="Calibri"/>
          <w:sz w:val="24"/>
          <w:szCs w:val="24"/>
          <w:lang w:val="en-CA"/>
        </w:rPr>
        <w:fldChar w:fldCharType="begin"/>
      </w:r>
      <w:r w:rsidRPr="00DF12E4">
        <w:rPr>
          <w:rFonts w:eastAsia="Calibri"/>
          <w:sz w:val="24"/>
          <w:szCs w:val="24"/>
          <w:lang w:val="en-CA"/>
        </w:rPr>
        <w:instrText xml:space="preserve"> SEQ CHAPTER \h \r 1</w:instrText>
      </w:r>
      <w:r w:rsidRPr="00DF12E4">
        <w:rPr>
          <w:rFonts w:eastAsia="Calibri"/>
          <w:sz w:val="24"/>
          <w:szCs w:val="24"/>
          <w:lang w:val="en-CA"/>
        </w:rPr>
        <w:fldChar w:fldCharType="end"/>
      </w:r>
      <w:r w:rsidRPr="00DF12E4">
        <w:rPr>
          <w:rFonts w:eastAsia="Calibri"/>
          <w:sz w:val="24"/>
          <w:szCs w:val="24"/>
        </w:rPr>
        <w:t>Cu-61 (t</w:t>
      </w:r>
      <w:r w:rsidRPr="00DF12E4">
        <w:rPr>
          <w:rFonts w:eastAsia="Calibri"/>
          <w:sz w:val="24"/>
          <w:szCs w:val="24"/>
          <w:vertAlign w:val="subscript"/>
        </w:rPr>
        <w:t>1/2</w:t>
      </w:r>
      <w:r w:rsidRPr="00DF12E4">
        <w:rPr>
          <w:rFonts w:eastAsia="Calibri"/>
          <w:sz w:val="24"/>
          <w:szCs w:val="24"/>
        </w:rPr>
        <w:t>=3.33 Hr, 61% β+, E</w:t>
      </w:r>
      <w:r w:rsidRPr="00DF12E4">
        <w:rPr>
          <w:rFonts w:eastAsia="Calibri"/>
          <w:sz w:val="24"/>
          <w:szCs w:val="24"/>
          <w:vertAlign w:val="subscript"/>
        </w:rPr>
        <w:t>max</w:t>
      </w:r>
      <w:r w:rsidRPr="00DF12E4">
        <w:rPr>
          <w:rFonts w:eastAsia="Calibri"/>
          <w:sz w:val="24"/>
          <w:szCs w:val="24"/>
        </w:rPr>
        <w:t xml:space="preserve"> = 1.216 MeV) is being studied as a possible alternative to </w:t>
      </w:r>
      <w:r w:rsidRPr="00DF12E4">
        <w:rPr>
          <w:rFonts w:eastAsia="Calibri"/>
          <w:sz w:val="24"/>
          <w:szCs w:val="24"/>
          <w:vertAlign w:val="superscript"/>
        </w:rPr>
        <w:t>68</w:t>
      </w:r>
      <w:r w:rsidRPr="00DF12E4">
        <w:rPr>
          <w:rFonts w:eastAsia="Calibri"/>
          <w:sz w:val="24"/>
          <w:szCs w:val="24"/>
        </w:rPr>
        <w:t xml:space="preserve">Ga for PET imaging of tumor-seeking biomolecules. As compared to </w:t>
      </w:r>
      <w:r w:rsidRPr="00C92C8D">
        <w:rPr>
          <w:rFonts w:eastAsia="Calibri"/>
          <w:sz w:val="24"/>
          <w:szCs w:val="24"/>
          <w:vertAlign w:val="superscript"/>
        </w:rPr>
        <w:t>68</w:t>
      </w:r>
      <w:r w:rsidRPr="00DF12E4">
        <w:rPr>
          <w:rFonts w:eastAsia="Calibri"/>
          <w:sz w:val="24"/>
          <w:szCs w:val="24"/>
        </w:rPr>
        <w:t xml:space="preserve">Ga, </w:t>
      </w:r>
      <w:r w:rsidRPr="00C92C8D">
        <w:rPr>
          <w:rFonts w:eastAsia="Calibri"/>
          <w:sz w:val="24"/>
          <w:szCs w:val="24"/>
          <w:vertAlign w:val="superscript"/>
        </w:rPr>
        <w:t>61</w:t>
      </w:r>
      <w:r w:rsidRPr="00DF12E4">
        <w:rPr>
          <w:rFonts w:eastAsia="Calibri"/>
          <w:sz w:val="24"/>
          <w:szCs w:val="24"/>
        </w:rPr>
        <w:t>Cu has the advantage of lower maximum positron energy (E</w:t>
      </w:r>
      <w:r w:rsidRPr="00DF12E4">
        <w:rPr>
          <w:rFonts w:eastAsia="Calibri"/>
          <w:sz w:val="24"/>
          <w:szCs w:val="24"/>
          <w:vertAlign w:val="subscript"/>
        </w:rPr>
        <w:t>max</w:t>
      </w:r>
      <w:r w:rsidRPr="00DF12E4">
        <w:rPr>
          <w:rFonts w:eastAsia="Calibri"/>
          <w:sz w:val="24"/>
          <w:szCs w:val="24"/>
        </w:rPr>
        <w:t xml:space="preserve"> = 1.216 MeV vs 1.899 MeV for </w:t>
      </w:r>
      <w:r w:rsidRPr="00C92C8D">
        <w:rPr>
          <w:rFonts w:eastAsia="Calibri"/>
          <w:sz w:val="24"/>
          <w:szCs w:val="24"/>
          <w:vertAlign w:val="superscript"/>
        </w:rPr>
        <w:t>68</w:t>
      </w:r>
      <w:r w:rsidRPr="00DF12E4">
        <w:rPr>
          <w:rFonts w:eastAsia="Calibri"/>
          <w:sz w:val="24"/>
          <w:szCs w:val="24"/>
        </w:rPr>
        <w:t xml:space="preserve">Ga), and a longer half-life (3.33 hr vs 68 min for </w:t>
      </w:r>
      <w:r w:rsidRPr="00DF12E4">
        <w:rPr>
          <w:rFonts w:eastAsia="Calibri"/>
          <w:sz w:val="24"/>
          <w:szCs w:val="24"/>
          <w:vertAlign w:val="superscript"/>
        </w:rPr>
        <w:t>68</w:t>
      </w:r>
      <w:r w:rsidRPr="00DF12E4">
        <w:rPr>
          <w:rFonts w:eastAsia="Calibri"/>
          <w:sz w:val="24"/>
          <w:szCs w:val="24"/>
        </w:rPr>
        <w:t xml:space="preserve">Ga) that allows for efficient production, labeling, and delivery to the imaging center.  The production of chelation-based </w:t>
      </w:r>
      <w:r w:rsidRPr="00DF12E4">
        <w:rPr>
          <w:rFonts w:eastAsia="Calibri"/>
          <w:sz w:val="24"/>
          <w:szCs w:val="24"/>
          <w:vertAlign w:val="superscript"/>
        </w:rPr>
        <w:t>61</w:t>
      </w:r>
      <w:r w:rsidRPr="00DF12E4">
        <w:rPr>
          <w:rFonts w:eastAsia="Calibri"/>
          <w:sz w:val="24"/>
          <w:szCs w:val="24"/>
        </w:rPr>
        <w:t xml:space="preserve">Cu radiopharmaceuticals has been demonstrated in several </w:t>
      </w:r>
      <w:proofErr w:type="gramStart"/>
      <w:r w:rsidRPr="00DF12E4">
        <w:rPr>
          <w:rFonts w:eastAsia="Calibri"/>
          <w:sz w:val="24"/>
          <w:szCs w:val="24"/>
        </w:rPr>
        <w:t>centers</w:t>
      </w:r>
      <w:r w:rsidR="00C92C8D">
        <w:rPr>
          <w:rFonts w:eastAsia="Calibri"/>
          <w:sz w:val="24"/>
          <w:szCs w:val="24"/>
        </w:rPr>
        <w:t>[</w:t>
      </w:r>
      <w:proofErr w:type="gramEnd"/>
      <w:r w:rsidR="00C92C8D">
        <w:rPr>
          <w:rFonts w:eastAsia="Calibri"/>
          <w:sz w:val="24"/>
          <w:szCs w:val="24"/>
        </w:rPr>
        <w:t>1]</w:t>
      </w:r>
      <w:r w:rsidRPr="00DF12E4">
        <w:rPr>
          <w:rFonts w:eastAsia="Calibri"/>
          <w:sz w:val="24"/>
          <w:szCs w:val="24"/>
        </w:rPr>
        <w:t>.</w:t>
      </w:r>
    </w:p>
    <w:p w14:paraId="66F392CA" w14:textId="77777777" w:rsidR="003D5E8F" w:rsidRDefault="003D5E8F" w:rsidP="00C623B0">
      <w:pPr>
        <w:tabs>
          <w:tab w:val="left" w:pos="0"/>
        </w:tabs>
        <w:snapToGrid w:val="0"/>
        <w:rPr>
          <w:sz w:val="24"/>
          <w:szCs w:val="24"/>
        </w:rPr>
      </w:pPr>
    </w:p>
    <w:p w14:paraId="29534A58" w14:textId="2AC8C5F6" w:rsidR="003D5E8F" w:rsidRPr="003D5E8F" w:rsidRDefault="00DF12E4" w:rsidP="00C623B0">
      <w:pPr>
        <w:tabs>
          <w:tab w:val="left" w:pos="0"/>
        </w:tabs>
        <w:snapToGrid w:val="0"/>
        <w:rPr>
          <w:b/>
          <w:sz w:val="24"/>
          <w:szCs w:val="24"/>
        </w:rPr>
      </w:pPr>
      <w:r>
        <w:rPr>
          <w:b/>
          <w:sz w:val="24"/>
          <w:szCs w:val="24"/>
        </w:rPr>
        <w:t>Production</w:t>
      </w:r>
    </w:p>
    <w:p w14:paraId="6652B5B0" w14:textId="3392487D" w:rsidR="00DF12E4" w:rsidRPr="00DF12E4" w:rsidRDefault="00DF12E4" w:rsidP="00DF12E4">
      <w:pPr>
        <w:autoSpaceDE w:val="0"/>
        <w:autoSpaceDN w:val="0"/>
        <w:adjustRightInd w:val="0"/>
        <w:rPr>
          <w:rFonts w:eastAsia="Calibri"/>
          <w:sz w:val="24"/>
          <w:szCs w:val="24"/>
        </w:rPr>
      </w:pPr>
      <w:r w:rsidRPr="00DF12E4">
        <w:rPr>
          <w:rFonts w:eastAsia="Calibri"/>
          <w:sz w:val="24"/>
          <w:szCs w:val="24"/>
          <w:lang w:val="en-CA"/>
        </w:rPr>
        <w:fldChar w:fldCharType="begin"/>
      </w:r>
      <w:r w:rsidRPr="00DF12E4">
        <w:rPr>
          <w:rFonts w:eastAsia="Calibri"/>
          <w:sz w:val="24"/>
          <w:szCs w:val="24"/>
          <w:lang w:val="en-CA"/>
        </w:rPr>
        <w:instrText xml:space="preserve"> SEQ CHAPTER \h \r 1</w:instrText>
      </w:r>
      <w:r w:rsidRPr="00DF12E4">
        <w:rPr>
          <w:rFonts w:eastAsia="Calibri"/>
          <w:sz w:val="24"/>
          <w:szCs w:val="24"/>
          <w:lang w:val="en-CA"/>
        </w:rPr>
        <w:fldChar w:fldCharType="end"/>
      </w:r>
      <w:r w:rsidRPr="00DF12E4">
        <w:rPr>
          <w:rFonts w:eastAsia="Calibri"/>
          <w:sz w:val="24"/>
          <w:szCs w:val="24"/>
        </w:rPr>
        <w:t xml:space="preserve">Various routes of production of </w:t>
      </w:r>
      <w:r w:rsidRPr="00DF12E4">
        <w:rPr>
          <w:rFonts w:eastAsia="Calibri"/>
          <w:sz w:val="24"/>
          <w:szCs w:val="24"/>
          <w:vertAlign w:val="superscript"/>
        </w:rPr>
        <w:t>61</w:t>
      </w:r>
      <w:r w:rsidRPr="00DF12E4">
        <w:rPr>
          <w:rFonts w:eastAsia="Calibri"/>
          <w:sz w:val="24"/>
          <w:szCs w:val="24"/>
        </w:rPr>
        <w:t xml:space="preserve">Cu with medical cyclotrons have been </w:t>
      </w:r>
      <w:proofErr w:type="gramStart"/>
      <w:r w:rsidRPr="00DF12E4">
        <w:rPr>
          <w:rFonts w:eastAsia="Calibri"/>
          <w:sz w:val="24"/>
          <w:szCs w:val="24"/>
        </w:rPr>
        <w:t>presented</w:t>
      </w:r>
      <w:r w:rsidR="00C92C8D">
        <w:rPr>
          <w:rFonts w:eastAsia="Calibri"/>
          <w:sz w:val="24"/>
          <w:szCs w:val="24"/>
        </w:rPr>
        <w:t>[</w:t>
      </w:r>
      <w:proofErr w:type="gramEnd"/>
      <w:r w:rsidR="00C92C8D">
        <w:rPr>
          <w:rFonts w:eastAsia="Calibri"/>
          <w:sz w:val="24"/>
          <w:szCs w:val="24"/>
        </w:rPr>
        <w:t>1</w:t>
      </w:r>
      <w:r w:rsidR="00972F48">
        <w:rPr>
          <w:rFonts w:eastAsia="Calibri"/>
          <w:sz w:val="24"/>
          <w:szCs w:val="24"/>
        </w:rPr>
        <w:t>,2</w:t>
      </w:r>
      <w:r w:rsidR="00C92C8D">
        <w:rPr>
          <w:rFonts w:eastAsia="Calibri"/>
          <w:sz w:val="24"/>
          <w:szCs w:val="24"/>
        </w:rPr>
        <w:t>]</w:t>
      </w:r>
      <w:r w:rsidRPr="00DF12E4">
        <w:rPr>
          <w:rFonts w:eastAsia="Calibri"/>
          <w:sz w:val="24"/>
          <w:szCs w:val="24"/>
        </w:rPr>
        <w:t xml:space="preserve">, but, for the high </w:t>
      </w:r>
      <w:proofErr w:type="spellStart"/>
      <w:r w:rsidRPr="00DF12E4">
        <w:rPr>
          <w:rFonts w:eastAsia="Calibri"/>
          <w:sz w:val="24"/>
          <w:szCs w:val="24"/>
        </w:rPr>
        <w:t>Mbq</w:t>
      </w:r>
      <w:proofErr w:type="spellEnd"/>
      <w:r w:rsidRPr="00DF12E4">
        <w:rPr>
          <w:rFonts w:eastAsia="Calibri"/>
          <w:sz w:val="24"/>
          <w:szCs w:val="24"/>
        </w:rPr>
        <w:t xml:space="preserve"> quantities at a high specific activity needed for routine imaging, proton bombardment of </w:t>
      </w:r>
      <w:r w:rsidRPr="00DF12E4">
        <w:rPr>
          <w:rFonts w:eastAsia="Calibri"/>
          <w:sz w:val="24"/>
          <w:szCs w:val="24"/>
          <w:vertAlign w:val="superscript"/>
        </w:rPr>
        <w:t>61</w:t>
      </w:r>
      <w:r w:rsidRPr="00DF12E4">
        <w:rPr>
          <w:rFonts w:eastAsia="Calibri"/>
          <w:sz w:val="24"/>
          <w:szCs w:val="24"/>
        </w:rPr>
        <w:t xml:space="preserve">Ni enriched targets using the </w:t>
      </w:r>
      <w:r w:rsidRPr="00DF12E4">
        <w:rPr>
          <w:rFonts w:eastAsia="Calibri"/>
          <w:sz w:val="24"/>
          <w:szCs w:val="24"/>
          <w:vertAlign w:val="superscript"/>
        </w:rPr>
        <w:t>61</w:t>
      </w:r>
      <w:r w:rsidRPr="00DF12E4">
        <w:rPr>
          <w:rFonts w:eastAsia="Calibri"/>
          <w:sz w:val="24"/>
          <w:szCs w:val="24"/>
        </w:rPr>
        <w:t>Ni(</w:t>
      </w:r>
      <w:proofErr w:type="spellStart"/>
      <w:r w:rsidRPr="00DF12E4">
        <w:rPr>
          <w:rFonts w:eastAsia="Calibri"/>
          <w:sz w:val="24"/>
          <w:szCs w:val="24"/>
        </w:rPr>
        <w:t>p,n</w:t>
      </w:r>
      <w:proofErr w:type="spellEnd"/>
      <w:r w:rsidRPr="00DF12E4">
        <w:rPr>
          <w:rFonts w:eastAsia="Calibri"/>
          <w:sz w:val="24"/>
          <w:szCs w:val="24"/>
        </w:rPr>
        <w:t>)</w:t>
      </w:r>
      <w:r w:rsidRPr="00DF12E4">
        <w:rPr>
          <w:rFonts w:eastAsia="Calibri"/>
          <w:sz w:val="24"/>
          <w:szCs w:val="24"/>
          <w:vertAlign w:val="superscript"/>
        </w:rPr>
        <w:t>61</w:t>
      </w:r>
      <w:r w:rsidRPr="00DF12E4">
        <w:rPr>
          <w:rFonts w:eastAsia="Calibri"/>
          <w:sz w:val="24"/>
          <w:szCs w:val="24"/>
        </w:rPr>
        <w:t xml:space="preserve">Cu reaction, offers several advantages to include higher activity and better </w:t>
      </w:r>
      <w:proofErr w:type="spellStart"/>
      <w:r w:rsidRPr="00DF12E4">
        <w:rPr>
          <w:rFonts w:eastAsia="Calibri"/>
          <w:sz w:val="24"/>
          <w:szCs w:val="24"/>
        </w:rPr>
        <w:t>radionuclidic</w:t>
      </w:r>
      <w:proofErr w:type="spellEnd"/>
      <w:r w:rsidRPr="00DF12E4">
        <w:rPr>
          <w:rFonts w:eastAsia="Calibri"/>
          <w:sz w:val="24"/>
          <w:szCs w:val="24"/>
        </w:rPr>
        <w:t xml:space="preserve"> purity.</w:t>
      </w:r>
    </w:p>
    <w:p w14:paraId="0E111E5F" w14:textId="77777777" w:rsidR="00DF12E4" w:rsidRPr="00DF12E4" w:rsidRDefault="00DF12E4" w:rsidP="00DF12E4">
      <w:pPr>
        <w:autoSpaceDE w:val="0"/>
        <w:autoSpaceDN w:val="0"/>
        <w:adjustRightInd w:val="0"/>
        <w:rPr>
          <w:rFonts w:eastAsia="Calibri"/>
          <w:sz w:val="24"/>
          <w:szCs w:val="24"/>
        </w:rPr>
      </w:pPr>
    </w:p>
    <w:p w14:paraId="1E35C942" w14:textId="2B14C22C" w:rsidR="00327FC9" w:rsidRDefault="00DF12E4" w:rsidP="00DF12E4">
      <w:pPr>
        <w:rPr>
          <w:rFonts w:eastAsia="Calibri"/>
          <w:sz w:val="24"/>
          <w:szCs w:val="24"/>
        </w:rPr>
      </w:pPr>
      <w:r w:rsidRPr="00DF12E4">
        <w:rPr>
          <w:rFonts w:eastAsia="Calibri"/>
          <w:sz w:val="24"/>
          <w:szCs w:val="24"/>
        </w:rPr>
        <w:t xml:space="preserve">All production methods of </w:t>
      </w:r>
      <w:r w:rsidRPr="00DF12E4">
        <w:rPr>
          <w:rFonts w:eastAsia="Calibri"/>
          <w:sz w:val="24"/>
          <w:szCs w:val="24"/>
          <w:vertAlign w:val="superscript"/>
        </w:rPr>
        <w:t>61</w:t>
      </w:r>
      <w:r w:rsidRPr="00DF12E4">
        <w:rPr>
          <w:rFonts w:eastAsia="Calibri"/>
          <w:sz w:val="24"/>
          <w:szCs w:val="24"/>
        </w:rPr>
        <w:t xml:space="preserve">Cu result in the formation of long-lived contaminants which must be separated from the </w:t>
      </w:r>
      <w:r w:rsidRPr="00DF12E4">
        <w:rPr>
          <w:rFonts w:eastAsia="Calibri"/>
          <w:sz w:val="24"/>
          <w:szCs w:val="24"/>
          <w:vertAlign w:val="superscript"/>
        </w:rPr>
        <w:t>61</w:t>
      </w:r>
      <w:r w:rsidRPr="00DF12E4">
        <w:rPr>
          <w:rFonts w:eastAsia="Calibri"/>
          <w:sz w:val="24"/>
          <w:szCs w:val="24"/>
        </w:rPr>
        <w:t>Cu prior to labeling with the biomolecule of interest</w:t>
      </w:r>
      <w:r w:rsidR="00972F48">
        <w:rPr>
          <w:rFonts w:eastAsia="Calibri"/>
          <w:sz w:val="24"/>
          <w:szCs w:val="24"/>
        </w:rPr>
        <w:t xml:space="preserve"> </w:t>
      </w:r>
      <w:r w:rsidR="00C92C8D">
        <w:rPr>
          <w:rFonts w:eastAsia="Calibri"/>
          <w:sz w:val="24"/>
          <w:szCs w:val="24"/>
        </w:rPr>
        <w:t>[3]</w:t>
      </w:r>
      <w:r>
        <w:rPr>
          <w:rFonts w:eastAsia="Calibri"/>
          <w:sz w:val="24"/>
          <w:szCs w:val="24"/>
        </w:rPr>
        <w:t>.</w:t>
      </w:r>
    </w:p>
    <w:p w14:paraId="431104B4" w14:textId="77777777" w:rsidR="00DF12E4" w:rsidRPr="00FD1F15" w:rsidRDefault="00DF12E4" w:rsidP="00DF12E4">
      <w:pPr>
        <w:rPr>
          <w:sz w:val="24"/>
          <w:szCs w:val="24"/>
        </w:rPr>
      </w:pPr>
    </w:p>
    <w:p w14:paraId="06ABACB3" w14:textId="421B6620" w:rsidR="00784340" w:rsidRDefault="00E87213" w:rsidP="00327FC9">
      <w:pPr>
        <w:rPr>
          <w:b/>
          <w:sz w:val="24"/>
          <w:szCs w:val="24"/>
        </w:rPr>
      </w:pPr>
      <w:r>
        <w:rPr>
          <w:b/>
          <w:sz w:val="24"/>
          <w:szCs w:val="24"/>
        </w:rPr>
        <w:t>Analysis</w:t>
      </w:r>
    </w:p>
    <w:p w14:paraId="32406AA7" w14:textId="652E4832" w:rsidR="00E87213" w:rsidRDefault="00E87213" w:rsidP="00327FC9">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 xml:space="preserve">This work reports on the quantification of long-lived contaminants from </w:t>
      </w:r>
      <w:r>
        <w:rPr>
          <w:sz w:val="24"/>
          <w:szCs w:val="24"/>
          <w:vertAlign w:val="superscript"/>
        </w:rPr>
        <w:t>61</w:t>
      </w:r>
      <w:r>
        <w:rPr>
          <w:sz w:val="24"/>
          <w:szCs w:val="24"/>
        </w:rPr>
        <w:t xml:space="preserve">Cu produced from a 99.42% enriched </w:t>
      </w:r>
      <w:r>
        <w:rPr>
          <w:sz w:val="24"/>
          <w:szCs w:val="24"/>
          <w:vertAlign w:val="superscript"/>
        </w:rPr>
        <w:t>61</w:t>
      </w:r>
      <w:r>
        <w:rPr>
          <w:sz w:val="24"/>
          <w:szCs w:val="24"/>
        </w:rPr>
        <w:t xml:space="preserve">Ni target on a Niobium backing.  Samples of </w:t>
      </w:r>
      <w:r w:rsidRPr="00E87213">
        <w:rPr>
          <w:sz w:val="24"/>
          <w:szCs w:val="24"/>
          <w:vertAlign w:val="superscript"/>
        </w:rPr>
        <w:t>61</w:t>
      </w:r>
      <w:r>
        <w:rPr>
          <w:sz w:val="24"/>
          <w:szCs w:val="24"/>
        </w:rPr>
        <w:t xml:space="preserve">Cu labeled biomolecules were collected at the End of Synthesis (EOS), and the initial </w:t>
      </w:r>
      <w:r w:rsidRPr="00E87213">
        <w:rPr>
          <w:sz w:val="24"/>
          <w:szCs w:val="24"/>
          <w:vertAlign w:val="superscript"/>
        </w:rPr>
        <w:t>61</w:t>
      </w:r>
      <w:r>
        <w:rPr>
          <w:sz w:val="24"/>
          <w:szCs w:val="24"/>
        </w:rPr>
        <w:t xml:space="preserve">Cu activity was determined with a medical dose calibrator.  The </w:t>
      </w:r>
      <w:r w:rsidRPr="00E87213">
        <w:rPr>
          <w:sz w:val="24"/>
          <w:szCs w:val="24"/>
          <w:vertAlign w:val="superscript"/>
        </w:rPr>
        <w:t>61</w:t>
      </w:r>
      <w:r>
        <w:rPr>
          <w:sz w:val="24"/>
          <w:szCs w:val="24"/>
        </w:rPr>
        <w:t>Cu was allowed to decay for two days, and the samples were counted on a high-resolution gamma spectrometer which was provided with the library of isotopes shown below (</w:t>
      </w:r>
      <w:proofErr w:type="spellStart"/>
      <w:r>
        <w:rPr>
          <w:sz w:val="24"/>
          <w:szCs w:val="24"/>
        </w:rPr>
        <w:t>Ortec</w:t>
      </w:r>
      <w:proofErr w:type="spellEnd"/>
      <w:r>
        <w:rPr>
          <w:sz w:val="24"/>
          <w:szCs w:val="24"/>
        </w:rPr>
        <w:t xml:space="preserve"> Gammavision).</w:t>
      </w:r>
      <w:r w:rsidR="000F75D4">
        <w:rPr>
          <w:sz w:val="24"/>
          <w:szCs w:val="24"/>
        </w:rPr>
        <w:t xml:space="preserve"> </w:t>
      </w:r>
      <w:r w:rsidR="000A7CC4">
        <w:rPr>
          <w:sz w:val="24"/>
          <w:szCs w:val="24"/>
        </w:rPr>
        <w:t xml:space="preserve">The  printout was carefully scrutinized to ensure there were no unidentified peaks that could represent additional isotopes were present and to eliminate incorrect associations of observed lines with contaminants (e.g. 511 keV). </w:t>
      </w:r>
      <w:r w:rsidR="000F75D4">
        <w:rPr>
          <w:sz w:val="24"/>
          <w:szCs w:val="24"/>
        </w:rPr>
        <w:t xml:space="preserve">The contaminant load in </w:t>
      </w:r>
      <w:proofErr w:type="spellStart"/>
      <w:r w:rsidR="000F75D4">
        <w:rPr>
          <w:sz w:val="24"/>
          <w:szCs w:val="24"/>
        </w:rPr>
        <w:t>Bq</w:t>
      </w:r>
      <w:proofErr w:type="spellEnd"/>
      <w:r w:rsidR="000F75D4">
        <w:rPr>
          <w:sz w:val="24"/>
          <w:szCs w:val="24"/>
        </w:rPr>
        <w:t xml:space="preserve"> contaminant/MBq </w:t>
      </w:r>
      <w:r w:rsidR="000F75D4" w:rsidRPr="000A7CC4">
        <w:rPr>
          <w:sz w:val="24"/>
          <w:szCs w:val="24"/>
          <w:vertAlign w:val="superscript"/>
        </w:rPr>
        <w:t>61</w:t>
      </w:r>
      <w:r w:rsidR="000F75D4">
        <w:rPr>
          <w:sz w:val="24"/>
          <w:szCs w:val="24"/>
        </w:rPr>
        <w:t>Cu at EOS, and at expiry were then determined</w:t>
      </w:r>
      <w:r w:rsidR="000A7CC4">
        <w:rPr>
          <w:sz w:val="24"/>
          <w:szCs w:val="24"/>
        </w:rPr>
        <w:t xml:space="preserve"> and reported. Finally, the total contaminant load (sum of the individual contaminants) was reported.</w:t>
      </w:r>
    </w:p>
    <w:p w14:paraId="3B94A10C" w14:textId="77777777" w:rsidR="000A7CC4" w:rsidRDefault="000A7CC4" w:rsidP="00327FC9">
      <w:pPr>
        <w:rPr>
          <w:sz w:val="24"/>
          <w:szCs w:val="24"/>
        </w:rPr>
      </w:pPr>
    </w:p>
    <w:p w14:paraId="2F768CB8" w14:textId="3CF93471" w:rsidR="00E87213" w:rsidRDefault="000A7CC4" w:rsidP="00327FC9">
      <w:pPr>
        <w:rPr>
          <w:sz w:val="24"/>
          <w:szCs w:val="24"/>
        </w:rPr>
      </w:pPr>
      <w:r>
        <w:rPr>
          <w:b/>
          <w:sz w:val="24"/>
          <w:szCs w:val="24"/>
        </w:rPr>
        <w:t>Conclusion</w:t>
      </w:r>
    </w:p>
    <w:p w14:paraId="3029B69D" w14:textId="1853A8EF" w:rsidR="00E87213" w:rsidRDefault="00E87213" w:rsidP="00327FC9">
      <w:pPr>
        <w:rPr>
          <w:sz w:val="24"/>
          <w:szCs w:val="24"/>
        </w:rPr>
      </w:pPr>
      <w:r>
        <w:rPr>
          <w:sz w:val="24"/>
          <w:szCs w:val="24"/>
        </w:rPr>
        <w:t xml:space="preserve">The following panel of long-lived contaminants have been identified in cyclotron-produced </w:t>
      </w:r>
      <w:r>
        <w:rPr>
          <w:sz w:val="24"/>
          <w:szCs w:val="24"/>
          <w:vertAlign w:val="superscript"/>
        </w:rPr>
        <w:t>61</w:t>
      </w:r>
      <w:r>
        <w:rPr>
          <w:sz w:val="24"/>
          <w:szCs w:val="24"/>
        </w:rPr>
        <w:t xml:space="preserve">Cu: </w:t>
      </w:r>
      <w:r>
        <w:rPr>
          <w:sz w:val="24"/>
          <w:szCs w:val="24"/>
          <w:vertAlign w:val="superscript"/>
        </w:rPr>
        <w:t>57</w:t>
      </w:r>
      <w:r>
        <w:rPr>
          <w:sz w:val="24"/>
          <w:szCs w:val="24"/>
        </w:rPr>
        <w:t xml:space="preserve">Co, </w:t>
      </w:r>
      <w:r>
        <w:rPr>
          <w:sz w:val="24"/>
          <w:szCs w:val="24"/>
          <w:vertAlign w:val="superscript"/>
        </w:rPr>
        <w:t>58</w:t>
      </w:r>
      <w:r>
        <w:rPr>
          <w:sz w:val="24"/>
          <w:szCs w:val="24"/>
        </w:rPr>
        <w:t xml:space="preserve">Co, </w:t>
      </w:r>
      <w:r>
        <w:rPr>
          <w:sz w:val="24"/>
          <w:szCs w:val="24"/>
          <w:vertAlign w:val="superscript"/>
        </w:rPr>
        <w:t>60</w:t>
      </w:r>
      <w:r>
        <w:rPr>
          <w:sz w:val="24"/>
          <w:szCs w:val="24"/>
        </w:rPr>
        <w:t xml:space="preserve">Cu, </w:t>
      </w:r>
      <w:r>
        <w:rPr>
          <w:sz w:val="24"/>
          <w:szCs w:val="24"/>
          <w:vertAlign w:val="superscript"/>
        </w:rPr>
        <w:t>64</w:t>
      </w:r>
      <w:r>
        <w:rPr>
          <w:sz w:val="24"/>
          <w:szCs w:val="24"/>
        </w:rPr>
        <w:t xml:space="preserve">Cu, and </w:t>
      </w:r>
      <w:r>
        <w:rPr>
          <w:sz w:val="24"/>
          <w:szCs w:val="24"/>
          <w:vertAlign w:val="superscript"/>
        </w:rPr>
        <w:t>48</w:t>
      </w:r>
      <w:r>
        <w:rPr>
          <w:sz w:val="24"/>
          <w:szCs w:val="24"/>
        </w:rPr>
        <w:t xml:space="preserve">Sc.  Of these, </w:t>
      </w:r>
      <w:r>
        <w:rPr>
          <w:sz w:val="24"/>
          <w:szCs w:val="24"/>
          <w:vertAlign w:val="superscript"/>
        </w:rPr>
        <w:t>58</w:t>
      </w:r>
      <w:r>
        <w:rPr>
          <w:sz w:val="24"/>
          <w:szCs w:val="24"/>
        </w:rPr>
        <w:t>Co is the dominant contaminant observed.</w:t>
      </w:r>
      <w:r w:rsidR="000A7CC4">
        <w:rPr>
          <w:sz w:val="24"/>
          <w:szCs w:val="24"/>
        </w:rPr>
        <w:t xml:space="preserve"> </w:t>
      </w:r>
      <w:r w:rsidR="000A7CC4" w:rsidRPr="000A7CC4">
        <w:rPr>
          <w:sz w:val="24"/>
          <w:szCs w:val="24"/>
          <w:vertAlign w:val="superscript"/>
        </w:rPr>
        <w:t>61</w:t>
      </w:r>
      <w:r w:rsidR="000A7CC4">
        <w:rPr>
          <w:sz w:val="24"/>
          <w:szCs w:val="24"/>
        </w:rPr>
        <w:t xml:space="preserve">Cu appears to be a viable PET imaging isotope for labeled biomolecules. </w:t>
      </w:r>
    </w:p>
    <w:p w14:paraId="516C0FDD" w14:textId="77777777" w:rsidR="00E87213" w:rsidRDefault="00E87213" w:rsidP="00327FC9">
      <w:pPr>
        <w:rPr>
          <w:b/>
          <w:sz w:val="24"/>
          <w:szCs w:val="24"/>
        </w:rPr>
      </w:pPr>
    </w:p>
    <w:p w14:paraId="1D80BA0E" w14:textId="15ECC02C" w:rsidR="00BC16D1" w:rsidRDefault="00FD1F15" w:rsidP="00327FC9">
      <w:pPr>
        <w:rPr>
          <w:sz w:val="24"/>
          <w:szCs w:val="24"/>
        </w:rPr>
      </w:pPr>
      <w:r>
        <w:rPr>
          <w:b/>
          <w:sz w:val="24"/>
          <w:szCs w:val="24"/>
        </w:rPr>
        <w:t>References</w:t>
      </w:r>
      <w:r w:rsidR="005B37DE">
        <w:rPr>
          <w:b/>
          <w:sz w:val="24"/>
          <w:szCs w:val="24"/>
        </w:rPr>
        <w:t xml:space="preserve"> </w:t>
      </w:r>
    </w:p>
    <w:p w14:paraId="7BC77DD6" w14:textId="70C2FCC6" w:rsidR="00AC24A9" w:rsidRPr="00C92C8D" w:rsidRDefault="00AC24A9" w:rsidP="00C92C8D">
      <w:pPr>
        <w:pStyle w:val="ListParagraph"/>
        <w:numPr>
          <w:ilvl w:val="0"/>
          <w:numId w:val="2"/>
        </w:numPr>
        <w:rPr>
          <w:sz w:val="24"/>
          <w:szCs w:val="24"/>
        </w:rPr>
      </w:pPr>
      <w:r w:rsidRPr="00C92C8D">
        <w:rPr>
          <w:sz w:val="24"/>
          <w:szCs w:val="24"/>
        </w:rPr>
        <w:t xml:space="preserve">Fonseca, A.I., et.al. (2022) Production of GMP-Compliant clinical amounts of copper-61 radiopharmaceuticals from liquid targets, </w:t>
      </w:r>
      <w:r w:rsidRPr="00C92C8D">
        <w:rPr>
          <w:i/>
          <w:iCs/>
          <w:sz w:val="24"/>
          <w:szCs w:val="24"/>
        </w:rPr>
        <w:t>Pharmaceuticals</w:t>
      </w:r>
      <w:r w:rsidRPr="00C92C8D">
        <w:rPr>
          <w:sz w:val="24"/>
          <w:szCs w:val="24"/>
        </w:rPr>
        <w:t xml:space="preserve"> 2022, 15,723.</w:t>
      </w:r>
    </w:p>
    <w:p w14:paraId="502F6A51" w14:textId="4D3313E9" w:rsidR="00AC24A9" w:rsidRPr="00C92C8D" w:rsidRDefault="00AC24A9" w:rsidP="00C92C8D">
      <w:pPr>
        <w:pStyle w:val="ListParagraph"/>
        <w:numPr>
          <w:ilvl w:val="0"/>
          <w:numId w:val="2"/>
        </w:numPr>
        <w:rPr>
          <w:sz w:val="24"/>
          <w:szCs w:val="24"/>
        </w:rPr>
      </w:pPr>
      <w:r w:rsidRPr="00C92C8D">
        <w:rPr>
          <w:sz w:val="24"/>
          <w:szCs w:val="24"/>
        </w:rPr>
        <w:t xml:space="preserve">McCarthy, D.W., et.al.(1999) High purity production and potential applications of copper-60 and copper-61, </w:t>
      </w:r>
      <w:r w:rsidRPr="00C92C8D">
        <w:rPr>
          <w:i/>
          <w:iCs/>
          <w:sz w:val="24"/>
          <w:szCs w:val="24"/>
        </w:rPr>
        <w:t>Nuclear Medicine and Biology</w:t>
      </w:r>
      <w:r w:rsidRPr="00C92C8D">
        <w:rPr>
          <w:sz w:val="24"/>
          <w:szCs w:val="24"/>
        </w:rPr>
        <w:t>, Vol 26, pp.351-358.</w:t>
      </w:r>
    </w:p>
    <w:p w14:paraId="5C95892A" w14:textId="37A7C765" w:rsidR="00AC24A9" w:rsidRPr="00C92C8D" w:rsidRDefault="00AC24A9" w:rsidP="00C92C8D">
      <w:pPr>
        <w:pStyle w:val="ListParagraph"/>
        <w:numPr>
          <w:ilvl w:val="0"/>
          <w:numId w:val="2"/>
        </w:numPr>
        <w:rPr>
          <w:sz w:val="24"/>
          <w:szCs w:val="24"/>
        </w:rPr>
      </w:pPr>
      <w:proofErr w:type="spellStart"/>
      <w:r w:rsidRPr="00C92C8D">
        <w:rPr>
          <w:sz w:val="24"/>
          <w:szCs w:val="24"/>
        </w:rPr>
        <w:t>Svedjehed</w:t>
      </w:r>
      <w:proofErr w:type="spellEnd"/>
      <w:r w:rsidRPr="00C92C8D">
        <w:rPr>
          <w:sz w:val="24"/>
          <w:szCs w:val="24"/>
        </w:rPr>
        <w:t xml:space="preserve">, </w:t>
      </w:r>
      <w:proofErr w:type="gramStart"/>
      <w:r w:rsidRPr="00C92C8D">
        <w:rPr>
          <w:sz w:val="24"/>
          <w:szCs w:val="24"/>
        </w:rPr>
        <w:t>J.(</w:t>
      </w:r>
      <w:proofErr w:type="gramEnd"/>
      <w:r w:rsidRPr="00C92C8D">
        <w:rPr>
          <w:sz w:val="24"/>
          <w:szCs w:val="24"/>
        </w:rPr>
        <w:t>2020) Automated, cassette-based isolation and formulation of high-purity [</w:t>
      </w:r>
      <w:r w:rsidRPr="00C92C8D">
        <w:rPr>
          <w:sz w:val="24"/>
          <w:szCs w:val="24"/>
          <w:vertAlign w:val="superscript"/>
        </w:rPr>
        <w:t>61</w:t>
      </w:r>
      <w:r w:rsidRPr="00C92C8D">
        <w:rPr>
          <w:sz w:val="24"/>
          <w:szCs w:val="24"/>
        </w:rPr>
        <w:t>Cu]CuCl</w:t>
      </w:r>
      <w:r w:rsidRPr="00C92C8D">
        <w:rPr>
          <w:sz w:val="24"/>
          <w:szCs w:val="24"/>
          <w:vertAlign w:val="subscript"/>
        </w:rPr>
        <w:t>2</w:t>
      </w:r>
      <w:r w:rsidRPr="00C92C8D">
        <w:rPr>
          <w:sz w:val="24"/>
          <w:szCs w:val="24"/>
        </w:rPr>
        <w:t xml:space="preserve"> from solid Ni targets, </w:t>
      </w:r>
      <w:r w:rsidRPr="0068204D">
        <w:rPr>
          <w:i/>
          <w:iCs/>
          <w:sz w:val="24"/>
          <w:szCs w:val="24"/>
        </w:rPr>
        <w:t xml:space="preserve">EJNMMI </w:t>
      </w:r>
      <w:proofErr w:type="spellStart"/>
      <w:r w:rsidRPr="0068204D">
        <w:rPr>
          <w:i/>
          <w:iCs/>
          <w:sz w:val="24"/>
          <w:szCs w:val="24"/>
        </w:rPr>
        <w:t>Radiopharmacy</w:t>
      </w:r>
      <w:proofErr w:type="spellEnd"/>
      <w:r w:rsidRPr="0068204D">
        <w:rPr>
          <w:i/>
          <w:iCs/>
          <w:sz w:val="24"/>
          <w:szCs w:val="24"/>
        </w:rPr>
        <w:t xml:space="preserve"> and Chemistry</w:t>
      </w:r>
      <w:r w:rsidRPr="00C92C8D">
        <w:rPr>
          <w:sz w:val="24"/>
          <w:szCs w:val="24"/>
        </w:rPr>
        <w:t>,</w:t>
      </w:r>
      <w:r w:rsidR="00AB109C" w:rsidRPr="00C92C8D">
        <w:rPr>
          <w:sz w:val="24"/>
          <w:szCs w:val="24"/>
        </w:rPr>
        <w:t xml:space="preserve"> doi.org/10.1186/s41181-020-00108-7.</w:t>
      </w:r>
    </w:p>
    <w:sectPr w:rsidR="00AC24A9" w:rsidRPr="00C92C8D" w:rsidSect="00400BA7">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B41C" w14:textId="77777777" w:rsidR="006835D8" w:rsidRDefault="006835D8" w:rsidP="00EF41F4">
      <w:r>
        <w:separator/>
      </w:r>
    </w:p>
  </w:endnote>
  <w:endnote w:type="continuationSeparator" w:id="0">
    <w:p w14:paraId="5EEB5008" w14:textId="77777777" w:rsidR="006835D8" w:rsidRDefault="006835D8" w:rsidP="00EF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2BF8" w14:textId="77777777" w:rsidR="006835D8" w:rsidRDefault="006835D8" w:rsidP="00EF41F4">
      <w:r>
        <w:separator/>
      </w:r>
    </w:p>
  </w:footnote>
  <w:footnote w:type="continuationSeparator" w:id="0">
    <w:p w14:paraId="47AC711E" w14:textId="77777777" w:rsidR="006835D8" w:rsidRDefault="006835D8" w:rsidP="00EF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2215" w14:textId="26435E56" w:rsidR="00BC16D1" w:rsidRPr="00BC16D1" w:rsidRDefault="00BC16D1" w:rsidP="00F56F4A">
    <w:pPr>
      <w:pStyle w:val="Header"/>
      <w:tabs>
        <w:tab w:val="clear" w:pos="9360"/>
      </w:tabs>
      <w:rPr>
        <w:b/>
      </w:rPr>
    </w:pPr>
    <w:r>
      <w:rPr>
        <w:b/>
      </w:rPr>
      <w:t>1</w:t>
    </w:r>
    <w:r w:rsidR="00BE1082">
      <w:rPr>
        <w:b/>
      </w:rPr>
      <w:t>2</w:t>
    </w:r>
    <w:r>
      <w:rPr>
        <w:b/>
      </w:rPr>
      <w:t>th</w:t>
    </w:r>
    <w:r w:rsidR="009A5E40" w:rsidRPr="00EF41F4">
      <w:rPr>
        <w:b/>
      </w:rPr>
      <w:t xml:space="preserve"> International Conference on Isotopes</w:t>
    </w:r>
    <w:r w:rsidR="009A5E40">
      <w:rPr>
        <w:b/>
      </w:rPr>
      <w:tab/>
      <w:t xml:space="preserve">        </w:t>
    </w:r>
    <w:r w:rsidR="009A5E40">
      <w:rPr>
        <w:b/>
      </w:rPr>
      <w:tab/>
    </w:r>
    <w:r w:rsidR="00BE1082">
      <w:rPr>
        <w:b/>
      </w:rPr>
      <w:t>Florence</w:t>
    </w:r>
    <w:r>
      <w:rPr>
        <w:b/>
      </w:rPr>
      <w:t xml:space="preserve">, </w:t>
    </w:r>
    <w:r w:rsidR="00BE1082">
      <w:rPr>
        <w:b/>
      </w:rPr>
      <w:t>Italy</w:t>
    </w:r>
    <w:r>
      <w:rPr>
        <w:b/>
      </w:rPr>
      <w:t xml:space="preserve">, </w:t>
    </w:r>
    <w:r w:rsidR="00BE1082">
      <w:rPr>
        <w:b/>
      </w:rPr>
      <w:t>February</w:t>
    </w:r>
    <w:r>
      <w:rPr>
        <w:b/>
      </w:rPr>
      <w:t xml:space="preserve"> 1</w:t>
    </w:r>
    <w:r w:rsidR="00BE1082">
      <w:rPr>
        <w:b/>
      </w:rPr>
      <w:t>6</w:t>
    </w:r>
    <w:r>
      <w:rPr>
        <w:b/>
      </w:rPr>
      <w:t>-2</w:t>
    </w:r>
    <w:r w:rsidR="00EA5A95">
      <w:rPr>
        <w:b/>
      </w:rPr>
      <w:t>0</w:t>
    </w:r>
    <w:r>
      <w:rPr>
        <w:b/>
      </w:rPr>
      <w:t>, 202</w:t>
    </w:r>
    <w:r w:rsidR="00BE1082">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3EAE"/>
    <w:multiLevelType w:val="hybridMultilevel"/>
    <w:tmpl w:val="045C86EE"/>
    <w:lvl w:ilvl="0" w:tplc="EB50E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06924"/>
    <w:multiLevelType w:val="hybridMultilevel"/>
    <w:tmpl w:val="02B4F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542330">
    <w:abstractNumId w:val="1"/>
  </w:num>
  <w:num w:numId="2" w16cid:durableId="208086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3tjA2NzGxMDA2NbFQ0lEKTi0uzszPAykwqgUAZMZKuiwAAAA="/>
  </w:docVars>
  <w:rsids>
    <w:rsidRoot w:val="00C623B0"/>
    <w:rsid w:val="00013D38"/>
    <w:rsid w:val="00020CF3"/>
    <w:rsid w:val="00054B45"/>
    <w:rsid w:val="00057938"/>
    <w:rsid w:val="00064BA1"/>
    <w:rsid w:val="000810E6"/>
    <w:rsid w:val="000A7CC4"/>
    <w:rsid w:val="000E15CC"/>
    <w:rsid w:val="000F045B"/>
    <w:rsid w:val="000F75D4"/>
    <w:rsid w:val="00170A8F"/>
    <w:rsid w:val="00177D0F"/>
    <w:rsid w:val="0019454B"/>
    <w:rsid w:val="001B41E9"/>
    <w:rsid w:val="001F3506"/>
    <w:rsid w:val="002205E3"/>
    <w:rsid w:val="0022756A"/>
    <w:rsid w:val="00262B80"/>
    <w:rsid w:val="00297F6B"/>
    <w:rsid w:val="002A5116"/>
    <w:rsid w:val="002D0B98"/>
    <w:rsid w:val="00310BBD"/>
    <w:rsid w:val="00317E8C"/>
    <w:rsid w:val="00326279"/>
    <w:rsid w:val="00327FC9"/>
    <w:rsid w:val="003360F9"/>
    <w:rsid w:val="00380728"/>
    <w:rsid w:val="0039789E"/>
    <w:rsid w:val="003C48CB"/>
    <w:rsid w:val="003D34B6"/>
    <w:rsid w:val="003D5E8F"/>
    <w:rsid w:val="003E5F80"/>
    <w:rsid w:val="00400BA7"/>
    <w:rsid w:val="00475277"/>
    <w:rsid w:val="0047585C"/>
    <w:rsid w:val="004B62E3"/>
    <w:rsid w:val="004C4C4B"/>
    <w:rsid w:val="0053195A"/>
    <w:rsid w:val="005450F6"/>
    <w:rsid w:val="005536A7"/>
    <w:rsid w:val="005A6AB9"/>
    <w:rsid w:val="005B37DE"/>
    <w:rsid w:val="005C1C78"/>
    <w:rsid w:val="005C25E9"/>
    <w:rsid w:val="006036D2"/>
    <w:rsid w:val="00613542"/>
    <w:rsid w:val="00617D9E"/>
    <w:rsid w:val="0065534F"/>
    <w:rsid w:val="0068204D"/>
    <w:rsid w:val="006835D8"/>
    <w:rsid w:val="006A0F0D"/>
    <w:rsid w:val="006B1425"/>
    <w:rsid w:val="006E1AE5"/>
    <w:rsid w:val="006F250C"/>
    <w:rsid w:val="006F5AFC"/>
    <w:rsid w:val="00722B3A"/>
    <w:rsid w:val="00732204"/>
    <w:rsid w:val="00784340"/>
    <w:rsid w:val="00787559"/>
    <w:rsid w:val="00797A3A"/>
    <w:rsid w:val="007F50F9"/>
    <w:rsid w:val="00801ABA"/>
    <w:rsid w:val="00872F0B"/>
    <w:rsid w:val="008A3860"/>
    <w:rsid w:val="008B0690"/>
    <w:rsid w:val="008D40A1"/>
    <w:rsid w:val="00901B63"/>
    <w:rsid w:val="00902F1C"/>
    <w:rsid w:val="00904516"/>
    <w:rsid w:val="00944E7B"/>
    <w:rsid w:val="00972F48"/>
    <w:rsid w:val="0097518C"/>
    <w:rsid w:val="009A47C4"/>
    <w:rsid w:val="009A5E40"/>
    <w:rsid w:val="009C71D0"/>
    <w:rsid w:val="009F6459"/>
    <w:rsid w:val="00A15A1D"/>
    <w:rsid w:val="00A70967"/>
    <w:rsid w:val="00AA384B"/>
    <w:rsid w:val="00AB109C"/>
    <w:rsid w:val="00AB1908"/>
    <w:rsid w:val="00AC24A9"/>
    <w:rsid w:val="00AC51B1"/>
    <w:rsid w:val="00AE0565"/>
    <w:rsid w:val="00AE5916"/>
    <w:rsid w:val="00B152B2"/>
    <w:rsid w:val="00B67395"/>
    <w:rsid w:val="00B92E3D"/>
    <w:rsid w:val="00BA25AE"/>
    <w:rsid w:val="00BB6391"/>
    <w:rsid w:val="00BC16D1"/>
    <w:rsid w:val="00BC2202"/>
    <w:rsid w:val="00BE1082"/>
    <w:rsid w:val="00BF48D4"/>
    <w:rsid w:val="00BF6026"/>
    <w:rsid w:val="00C01474"/>
    <w:rsid w:val="00C2552C"/>
    <w:rsid w:val="00C623B0"/>
    <w:rsid w:val="00C653F6"/>
    <w:rsid w:val="00C92C8D"/>
    <w:rsid w:val="00CB643D"/>
    <w:rsid w:val="00CC10F8"/>
    <w:rsid w:val="00CE183D"/>
    <w:rsid w:val="00CE5E6E"/>
    <w:rsid w:val="00D30834"/>
    <w:rsid w:val="00D33FF9"/>
    <w:rsid w:val="00D51213"/>
    <w:rsid w:val="00D72631"/>
    <w:rsid w:val="00D81090"/>
    <w:rsid w:val="00D9110A"/>
    <w:rsid w:val="00DA10A5"/>
    <w:rsid w:val="00DA1F2C"/>
    <w:rsid w:val="00DF12E4"/>
    <w:rsid w:val="00E02C20"/>
    <w:rsid w:val="00E07BA3"/>
    <w:rsid w:val="00E30C27"/>
    <w:rsid w:val="00E57F89"/>
    <w:rsid w:val="00E87213"/>
    <w:rsid w:val="00E91800"/>
    <w:rsid w:val="00E95299"/>
    <w:rsid w:val="00EA5A95"/>
    <w:rsid w:val="00EA631B"/>
    <w:rsid w:val="00ED2C97"/>
    <w:rsid w:val="00EE3CDF"/>
    <w:rsid w:val="00EE7AA6"/>
    <w:rsid w:val="00EF2C15"/>
    <w:rsid w:val="00EF41F4"/>
    <w:rsid w:val="00F01E3A"/>
    <w:rsid w:val="00F044DA"/>
    <w:rsid w:val="00F05C50"/>
    <w:rsid w:val="00F240B8"/>
    <w:rsid w:val="00F340C6"/>
    <w:rsid w:val="00F421BD"/>
    <w:rsid w:val="00F56F4A"/>
    <w:rsid w:val="00F6005E"/>
    <w:rsid w:val="00F633E9"/>
    <w:rsid w:val="00F65082"/>
    <w:rsid w:val="00F87BF3"/>
    <w:rsid w:val="00F91AE5"/>
    <w:rsid w:val="00FD1F15"/>
    <w:rsid w:val="00FF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F2E40A"/>
  <w15:docId w15:val="{8460CDAF-2974-4226-8D0F-1F7C76C6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0A7CC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
    <w:name w:val="Heading C"/>
    <w:basedOn w:val="Normal"/>
    <w:rsid w:val="00170A8F"/>
    <w:rPr>
      <w:i/>
    </w:rPr>
  </w:style>
  <w:style w:type="paragraph" w:customStyle="1" w:styleId="Paragraph">
    <w:name w:val="Paragraph"/>
    <w:basedOn w:val="Normal"/>
    <w:rsid w:val="00170A8F"/>
    <w:pPr>
      <w:ind w:firstLine="360"/>
    </w:pPr>
  </w:style>
  <w:style w:type="table" w:styleId="TableGrid">
    <w:name w:val="Table Grid"/>
    <w:basedOn w:val="TableNormal"/>
    <w:uiPriority w:val="59"/>
    <w:rsid w:val="00170A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41F4"/>
    <w:pPr>
      <w:tabs>
        <w:tab w:val="center" w:pos="4680"/>
        <w:tab w:val="right" w:pos="9360"/>
      </w:tabs>
    </w:pPr>
  </w:style>
  <w:style w:type="character" w:customStyle="1" w:styleId="HeaderChar">
    <w:name w:val="Header Char"/>
    <w:link w:val="Header"/>
    <w:uiPriority w:val="99"/>
    <w:rsid w:val="00EF41F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41F4"/>
    <w:pPr>
      <w:tabs>
        <w:tab w:val="center" w:pos="4680"/>
        <w:tab w:val="right" w:pos="9360"/>
      </w:tabs>
    </w:pPr>
  </w:style>
  <w:style w:type="character" w:customStyle="1" w:styleId="FooterChar">
    <w:name w:val="Footer Char"/>
    <w:link w:val="Footer"/>
    <w:uiPriority w:val="99"/>
    <w:rsid w:val="00EF41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41F4"/>
    <w:rPr>
      <w:rFonts w:ascii="Tahoma" w:hAnsi="Tahoma"/>
      <w:sz w:val="16"/>
      <w:szCs w:val="16"/>
    </w:rPr>
  </w:style>
  <w:style w:type="character" w:customStyle="1" w:styleId="BalloonTextChar">
    <w:name w:val="Balloon Text Char"/>
    <w:link w:val="BalloonText"/>
    <w:uiPriority w:val="99"/>
    <w:semiHidden/>
    <w:rsid w:val="00EF41F4"/>
    <w:rPr>
      <w:rFonts w:ascii="Tahoma" w:eastAsia="Times New Roman" w:hAnsi="Tahoma" w:cs="Tahoma"/>
      <w:sz w:val="16"/>
      <w:szCs w:val="16"/>
    </w:rPr>
  </w:style>
  <w:style w:type="paragraph" w:styleId="ListParagraph">
    <w:name w:val="List Paragraph"/>
    <w:basedOn w:val="Normal"/>
    <w:uiPriority w:val="34"/>
    <w:qFormat/>
    <w:rsid w:val="00F56F4A"/>
    <w:pPr>
      <w:ind w:left="720"/>
      <w:contextualSpacing/>
    </w:pPr>
  </w:style>
  <w:style w:type="character" w:styleId="CommentReference">
    <w:name w:val="annotation reference"/>
    <w:basedOn w:val="DefaultParagraphFont"/>
    <w:uiPriority w:val="99"/>
    <w:semiHidden/>
    <w:unhideWhenUsed/>
    <w:rsid w:val="00380728"/>
    <w:rPr>
      <w:sz w:val="18"/>
      <w:szCs w:val="18"/>
    </w:rPr>
  </w:style>
  <w:style w:type="paragraph" w:styleId="CommentText">
    <w:name w:val="annotation text"/>
    <w:basedOn w:val="Normal"/>
    <w:link w:val="CommentTextChar"/>
    <w:uiPriority w:val="99"/>
    <w:semiHidden/>
    <w:unhideWhenUsed/>
    <w:rsid w:val="00380728"/>
    <w:rPr>
      <w:sz w:val="24"/>
      <w:szCs w:val="24"/>
    </w:rPr>
  </w:style>
  <w:style w:type="character" w:customStyle="1" w:styleId="CommentTextChar">
    <w:name w:val="Comment Text Char"/>
    <w:basedOn w:val="DefaultParagraphFont"/>
    <w:link w:val="CommentText"/>
    <w:uiPriority w:val="99"/>
    <w:semiHidden/>
    <w:rsid w:val="00380728"/>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80728"/>
    <w:rPr>
      <w:b/>
      <w:bCs/>
      <w:sz w:val="20"/>
      <w:szCs w:val="20"/>
    </w:rPr>
  </w:style>
  <w:style w:type="character" w:customStyle="1" w:styleId="CommentSubjectChar">
    <w:name w:val="Comment Subject Char"/>
    <w:basedOn w:val="CommentTextChar"/>
    <w:link w:val="CommentSubject"/>
    <w:uiPriority w:val="99"/>
    <w:semiHidden/>
    <w:rsid w:val="00380728"/>
    <w:rPr>
      <w:rFonts w:ascii="Times New Roman" w:eastAsia="Times New Roman" w:hAnsi="Times New Roman"/>
      <w:b/>
      <w:bCs/>
      <w:sz w:val="24"/>
      <w:szCs w:val="24"/>
    </w:rPr>
  </w:style>
  <w:style w:type="character" w:styleId="Emphasis">
    <w:name w:val="Emphasis"/>
    <w:basedOn w:val="DefaultParagraphFont"/>
    <w:uiPriority w:val="20"/>
    <w:qFormat/>
    <w:rsid w:val="00BC16D1"/>
    <w:rPr>
      <w:i/>
      <w:iCs/>
    </w:rPr>
  </w:style>
  <w:style w:type="character" w:styleId="Hyperlink">
    <w:name w:val="Hyperlink"/>
    <w:basedOn w:val="DefaultParagraphFont"/>
    <w:uiPriority w:val="99"/>
    <w:unhideWhenUsed/>
    <w:rsid w:val="00BC16D1"/>
    <w:rPr>
      <w:color w:val="0000FF"/>
      <w:u w:val="single"/>
    </w:rPr>
  </w:style>
  <w:style w:type="character" w:styleId="UnresolvedMention">
    <w:name w:val="Unresolved Mention"/>
    <w:basedOn w:val="DefaultParagraphFont"/>
    <w:uiPriority w:val="99"/>
    <w:semiHidden/>
    <w:unhideWhenUsed/>
    <w:rsid w:val="00BC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462</Words>
  <Characters>2636</Characters>
  <Application>Microsoft Office Word</Application>
  <DocSecurity>0</DocSecurity>
  <Lines>21</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9 ICI Abstract Template</vt:lpstr>
      <vt:lpstr>9 ICI Abstract Template</vt:lpstr>
    </vt:vector>
  </TitlesOfParts>
  <Company>9ici.org</Company>
  <LinksUpToDate>false</LinksUpToDate>
  <CharactersWithSpaces>3092</CharactersWithSpaces>
  <SharedDoc>false</SharedDoc>
  <HyperlinkBase>www.9ici.org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ICI Abstract Template</dc:title>
  <dc:subject>www.9ici.org</dc:subject>
  <dc:creator>pdickman@anl.gov</dc:creator>
  <cp:keywords>9ICI</cp:keywords>
  <cp:lastModifiedBy>Robert Metzger</cp:lastModifiedBy>
  <cp:revision>6</cp:revision>
  <cp:lastPrinted>2025-05-07T21:18:00Z</cp:lastPrinted>
  <dcterms:created xsi:type="dcterms:W3CDTF">2025-05-07T21:59:00Z</dcterms:created>
  <dcterms:modified xsi:type="dcterms:W3CDTF">2025-05-08T17:28:00Z</dcterms:modified>
</cp:coreProperties>
</file>